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AB3" w:rsidRPr="00A83DDD" w:rsidRDefault="00A66153" w:rsidP="00A83DDD">
      <w:pPr>
        <w:pStyle w:val="Nzev"/>
        <w:rPr>
          <w:sz w:val="44"/>
        </w:rPr>
      </w:pPr>
      <w:r w:rsidRPr="00A83DDD">
        <w:rPr>
          <w:sz w:val="44"/>
        </w:rPr>
        <w:t xml:space="preserve">Kontroly – </w:t>
      </w:r>
      <w:r w:rsidR="00A83DDD">
        <w:rPr>
          <w:sz w:val="44"/>
        </w:rPr>
        <w:t>sou</w:t>
      </w:r>
      <w:r w:rsidRPr="00A83DDD">
        <w:rPr>
          <w:sz w:val="44"/>
        </w:rPr>
        <w:t>část dokumentace MPÚ</w:t>
      </w:r>
    </w:p>
    <w:p w:rsidR="00A66153" w:rsidRDefault="00A66153" w:rsidP="00A66153">
      <w:pPr>
        <w:pStyle w:val="Nadpis2"/>
      </w:pPr>
      <w:r>
        <w:t>Úvod</w:t>
      </w:r>
    </w:p>
    <w:p w:rsidR="00A66153" w:rsidRDefault="00A66153" w:rsidP="00A83DDD">
      <w:r>
        <w:t xml:space="preserve">V aplikaci je možné vypínat a zapínat sérii kontrol, podle kterých se pak aplikace chová. V současnosti (srpen 2018) však už není možné určit, které kontroly jsou skutečně funkční, a které kontroly se skutečně provádějí v souladu se sestavou Kontroly. Sestava není ročníková, tudíž zapnutí a vypnutí kontrol se projeví ve všech ročnících (resp. tam, kde je to v kódu nastavené). Uživatelé (konkrétně ústředí, které jako jediné má do sestavy přístup) tuto sestavu téměř jistě nepoužívají (a dost možná ani nevědí, že něco podobného existuje). Proto </w:t>
      </w:r>
      <w:r w:rsidR="00A83DDD">
        <w:t xml:space="preserve">bylo </w:t>
      </w:r>
      <w:r>
        <w:t>rozhod</w:t>
      </w:r>
      <w:r w:rsidR="00A83DDD">
        <w:t>nuto</w:t>
      </w:r>
      <w:r>
        <w:t xml:space="preserve"> uděl</w:t>
      </w:r>
      <w:r w:rsidR="00A83DDD">
        <w:t>at</w:t>
      </w:r>
      <w:r>
        <w:t xml:space="preserve"> revizi sestavy. Další motivací byl Změnový list č. 4</w:t>
      </w:r>
      <w:r w:rsidR="00A83DDD">
        <w:t>/2018</w:t>
      </w:r>
      <w:r>
        <w:t xml:space="preserve">, kde </w:t>
      </w:r>
      <w:r w:rsidR="00A83DDD">
        <w:t xml:space="preserve">se doplňovaly tři </w:t>
      </w:r>
      <w:r>
        <w:t>nové kontroly</w:t>
      </w:r>
      <w:r w:rsidR="00A83DDD">
        <w:t>,</w:t>
      </w:r>
      <w:r>
        <w:t xml:space="preserve"> </w:t>
      </w:r>
      <w:r w:rsidR="00A83DDD">
        <w:t xml:space="preserve">u nichž byl požadavek umožnit </w:t>
      </w:r>
      <w:r>
        <w:t>za</w:t>
      </w:r>
      <w:r w:rsidR="00A83DDD">
        <w:t>pínání/vypínání.</w:t>
      </w:r>
    </w:p>
    <w:p w:rsidR="00A823E8" w:rsidRDefault="00A823E8" w:rsidP="00A823E8">
      <w:pPr>
        <w:pStyle w:val="Nadpis2"/>
      </w:pPr>
      <w:r>
        <w:t>Databáze</w:t>
      </w:r>
    </w:p>
    <w:p w:rsidR="00A823E8" w:rsidRDefault="00893659" w:rsidP="00A823E8">
      <w:r>
        <w:t>V databázi se Kontrol týká jedna tabulka: pu_kontroly. Obsahuje sloupce „kod, popis, enabled“. Kód musí být unikátní a dle něj se hledají kontroly v kódu. Popis slouží k shrnutí toho, co kontrola dělá. Popis se také objevuje v sestavě Kontroly pro uživatele. Enabled je hodnota 1/0. Pokud je nastaven na 1, pak je kontrola zapnutá, v opačném případě vypnutá.</w:t>
      </w:r>
    </w:p>
    <w:p w:rsidR="009F79C3" w:rsidRDefault="009F79C3" w:rsidP="009F79C3">
      <w:pPr>
        <w:pStyle w:val="Nadpis2"/>
      </w:pPr>
      <w:r>
        <w:t>Sestava</w:t>
      </w:r>
    </w:p>
    <w:p w:rsidR="009F79C3" w:rsidRDefault="009F79C3" w:rsidP="009F79C3">
      <w:r>
        <w:t xml:space="preserve">Sestava obsahuje tři sloupce. V prvním (nadepsáno „Kontrola“) je obsažen popis z datové tabulky pu_kontroly. Dále sloupec Povolená, kde je u každé kontroly zobrazen checkbox </w:t>
      </w:r>
      <w:r w:rsidR="0018616B">
        <w:t xml:space="preserve">(zašedlý) </w:t>
      </w:r>
      <w:r>
        <w:t>podle hodnoty enabled. Konečně poslední sloupec</w:t>
      </w:r>
      <w:r w:rsidR="00E37FB6">
        <w:t xml:space="preserve"> </w:t>
      </w:r>
      <w:r>
        <w:t>obsahuje tlačítko s nápisem zakázat/povolit, který mění stav enable</w:t>
      </w:r>
      <w:r w:rsidR="00462F57">
        <w:t>d</w:t>
      </w:r>
      <w:r>
        <w:t>.</w:t>
      </w:r>
      <w:r w:rsidR="00462F57">
        <w:t xml:space="preserve"> Jak </w:t>
      </w:r>
      <w:r w:rsidR="00A83DDD">
        <w:t xml:space="preserve">je </w:t>
      </w:r>
      <w:r w:rsidR="00462F57">
        <w:t>zm</w:t>
      </w:r>
      <w:r w:rsidR="00A83DDD">
        <w:t>íněno</w:t>
      </w:r>
      <w:r w:rsidR="00462F57">
        <w:t xml:space="preserve"> výše, sestava je dostupná pouze pro roli „MA“ v aplikaci (</w:t>
      </w:r>
      <w:r w:rsidR="00A83DDD">
        <w:t xml:space="preserve">tj. </w:t>
      </w:r>
      <w:r w:rsidR="00462F57">
        <w:t xml:space="preserve">ústředí, </w:t>
      </w:r>
      <w:r w:rsidR="00A83DDD">
        <w:t>administrátor)</w:t>
      </w:r>
      <w:r w:rsidR="009458FF">
        <w:t>.</w:t>
      </w:r>
    </w:p>
    <w:p w:rsidR="00750907" w:rsidRDefault="00750907" w:rsidP="00750907">
      <w:pPr>
        <w:pStyle w:val="Nadpis2"/>
      </w:pPr>
      <w:r>
        <w:t>Kód</w:t>
      </w:r>
    </w:p>
    <w:p w:rsidR="00750907" w:rsidRPr="00750907" w:rsidRDefault="00750907" w:rsidP="00750907">
      <w:r>
        <w:t xml:space="preserve">V kódu </w:t>
      </w:r>
      <w:r w:rsidR="00A83DDD">
        <w:t xml:space="preserve">se tabulka </w:t>
      </w:r>
      <w:r>
        <w:t>použ</w:t>
      </w:r>
      <w:r w:rsidR="00A83DDD">
        <w:t>ívá</w:t>
      </w:r>
      <w:r>
        <w:t xml:space="preserve"> voláním metody Kontroly.Enabled(string kódu kontroly), která vrací true/false, zda je kontrola zapnutá, či ne.</w:t>
      </w:r>
      <w:r w:rsidR="00144D68">
        <w:t xml:space="preserve"> </w:t>
      </w:r>
      <w:r w:rsidR="00144D68" w:rsidRPr="0018295F">
        <w:rPr>
          <w:color w:val="00B0F0"/>
        </w:rPr>
        <w:t>Defaultně metoda vrací true</w:t>
      </w:r>
      <w:r w:rsidR="00144D68">
        <w:t>. Tedy pokud kód neexistuje (třeba po vymazání z databázové tabulky), bude se brát, že kontrola je zapnutá.</w:t>
      </w:r>
    </w:p>
    <w:p w:rsidR="004D096B" w:rsidRDefault="00A83DDD" w:rsidP="004D096B">
      <w:pPr>
        <w:pStyle w:val="Nadpis2"/>
      </w:pPr>
      <w:r>
        <w:t>Přehled k</w:t>
      </w:r>
      <w:r w:rsidR="004D096B">
        <w:t>ont</w:t>
      </w:r>
      <w:r>
        <w:t>rol</w:t>
      </w:r>
    </w:p>
    <w:p w:rsidR="00750907" w:rsidRDefault="004D096B" w:rsidP="00A83DDD">
      <w:r>
        <w:t xml:space="preserve">Následující tabulka obsahuje všechny kontroly, které </w:t>
      </w:r>
      <w:r w:rsidR="00A83DDD">
        <w:t xml:space="preserve">se </w:t>
      </w:r>
      <w:r>
        <w:t xml:space="preserve">aktuálně </w:t>
      </w:r>
      <w:r w:rsidR="00A83DDD">
        <w:t xml:space="preserve">nacházejí </w:t>
      </w:r>
      <w:r>
        <w:t>v databázi.</w:t>
      </w:r>
      <w:r w:rsidR="00750907">
        <w:t xml:space="preserve"> </w:t>
      </w:r>
      <w:r w:rsidR="00A83DDD">
        <w:t>Tabulka je řazena</w:t>
      </w:r>
      <w:r w:rsidR="007879A1">
        <w:t xml:space="preserve"> dle kódu abecedně. </w:t>
      </w:r>
      <w:r w:rsidR="00750907">
        <w:t>V poznámkách je koment</w:t>
      </w:r>
      <w:r w:rsidR="00A83DDD">
        <w:t>ář k aktuálnímu stavu – popisuje se v něm</w:t>
      </w:r>
      <w:r w:rsidR="00750907">
        <w:t xml:space="preserve"> používanost apod. </w:t>
      </w:r>
      <w:r w:rsidR="00A83DDD">
        <w:t xml:space="preserve">Aktuální stav byl zjištěn prohledáním celého projektu </w:t>
      </w:r>
      <w:r w:rsidR="00750907">
        <w:t xml:space="preserve">ve VS </w:t>
      </w:r>
      <w:r w:rsidR="00A83DDD">
        <w:t>na řetězec "</w:t>
      </w:r>
      <w:r w:rsidR="00750907">
        <w:t>Enabled(kód)</w:t>
      </w:r>
      <w:r w:rsidR="00A83DDD">
        <w:t>"</w:t>
      </w:r>
      <w:r w:rsidR="00750907">
        <w:t xml:space="preserve">. Výsledek </w:t>
      </w:r>
      <w:r w:rsidR="00A83DDD">
        <w:t xml:space="preserve">je </w:t>
      </w:r>
      <w:r w:rsidR="00750907">
        <w:t>koment</w:t>
      </w:r>
      <w:r w:rsidR="00A83DDD">
        <w:t>ován v tabulce níže</w:t>
      </w:r>
      <w:r w:rsidR="00750907">
        <w:t>.</w:t>
      </w:r>
      <w:r w:rsidR="00680751">
        <w:t xml:space="preserve"> Soubory mohou být z .cs souborů v podsložkách App_Code – </w:t>
      </w:r>
      <w:r w:rsidR="00A83DDD">
        <w:t xml:space="preserve">není zde uvedena </w:t>
      </w:r>
      <w:r w:rsidR="00B05561">
        <w:t>cel</w:t>
      </w:r>
      <w:r w:rsidR="00A83DDD">
        <w:t>á cesta</w:t>
      </w:r>
      <w:r w:rsidR="00FE0E38">
        <w:t xml:space="preserve"> (většinou: .cs v App_Code; .aspx.cs jinde)</w:t>
      </w:r>
      <w:r w:rsidR="00B05561">
        <w:t>.</w:t>
      </w:r>
      <w:r w:rsidR="001724CD">
        <w:t xml:space="preserve"> Pro více detailů </w:t>
      </w:r>
      <w:r w:rsidR="00A83DDD">
        <w:t>je třeba nahlédnout do</w:t>
      </w:r>
      <w:r w:rsidR="001724CD">
        <w:t xml:space="preserve"> kód</w:t>
      </w:r>
      <w:r w:rsidR="00A83DDD">
        <w:t xml:space="preserve">u </w:t>
      </w:r>
      <w:r w:rsidR="00CD636B">
        <w:t>(odkazované soubory</w:t>
      </w:r>
      <w:r w:rsidR="008E785A">
        <w:t xml:space="preserve"> v poznámkách níže</w:t>
      </w:r>
      <w:r w:rsidR="00CD636B">
        <w:t>)</w:t>
      </w:r>
      <w:r w:rsidR="001724CD">
        <w:t>.</w:t>
      </w:r>
      <w:r w:rsidR="00A83DDD">
        <w:t xml:space="preserve"> Ve sloupci Aktivní je</w:t>
      </w:r>
      <w:r w:rsidR="005852AC">
        <w:t xml:space="preserve"> zhodno</w:t>
      </w:r>
      <w:r w:rsidR="00A83DDD">
        <w:t>ceno</w:t>
      </w:r>
      <w:r w:rsidR="005852AC">
        <w:t>, zda je kontrola aktivní a využívaná – Ano/Ne. Pozor, jedná se o zhodnocení kontroly v roce 2018 (či jen o trošku méně; kontrola může být důležitá např. pro rok 2012, poté zanikla, proto zde je nastaveno jako Ne – v případě vyřazení z databázové tabulky může mít nějaký dopad</w:t>
      </w:r>
      <w:r w:rsidR="003B39BB">
        <w:t xml:space="preserve"> třeba právě v roce 201</w:t>
      </w:r>
      <w:r w:rsidR="0085670E">
        <w:t>2</w:t>
      </w:r>
      <w:r w:rsidR="005852AC">
        <w:t>)</w:t>
      </w:r>
      <w:r w:rsidR="00FE763B">
        <w:t>.</w:t>
      </w:r>
    </w:p>
    <w:p w:rsidR="0018295F" w:rsidRDefault="0018295F" w:rsidP="00750907">
      <w:pPr>
        <w:ind w:firstLine="708"/>
      </w:pPr>
    </w:p>
    <w:p w:rsidR="0018295F" w:rsidRPr="004D096B" w:rsidRDefault="0018295F" w:rsidP="00750907">
      <w:pPr>
        <w:ind w:firstLine="708"/>
      </w:pPr>
    </w:p>
    <w:tbl>
      <w:tblPr>
        <w:tblStyle w:val="Stednseznam1zvraznn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3686"/>
        <w:gridCol w:w="958"/>
      </w:tblGrid>
      <w:tr w:rsidR="005852AC" w:rsidTr="00503A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bottom w:val="single" w:sz="12" w:space="0" w:color="auto"/>
            </w:tcBorders>
            <w:shd w:val="clear" w:color="auto" w:fill="365F91" w:themeFill="accent1" w:themeFillShade="BF"/>
          </w:tcPr>
          <w:p w:rsidR="005852AC" w:rsidRPr="00E9046F" w:rsidRDefault="005852AC" w:rsidP="0014294B">
            <w:pPr>
              <w:rPr>
                <w:color w:val="FFFFFF" w:themeColor="background1"/>
              </w:rPr>
            </w:pPr>
            <w:r w:rsidRPr="00E9046F">
              <w:rPr>
                <w:color w:val="FFFFFF" w:themeColor="background1"/>
              </w:rPr>
              <w:lastRenderedPageBreak/>
              <w:t>Kód</w:t>
            </w:r>
          </w:p>
        </w:tc>
        <w:tc>
          <w:tcPr>
            <w:tcW w:w="3118" w:type="dxa"/>
            <w:tcBorders>
              <w:bottom w:val="single" w:sz="12" w:space="0" w:color="auto"/>
            </w:tcBorders>
            <w:shd w:val="clear" w:color="auto" w:fill="365F91" w:themeFill="accent1" w:themeFillShade="BF"/>
          </w:tcPr>
          <w:p w:rsidR="005852AC" w:rsidRPr="00E9046F" w:rsidRDefault="005852AC" w:rsidP="00F608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E9046F">
              <w:rPr>
                <w:b/>
                <w:color w:val="FFFFFF" w:themeColor="background1"/>
              </w:rPr>
              <w:t>Popis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shd w:val="clear" w:color="auto" w:fill="365F91" w:themeFill="accent1" w:themeFillShade="BF"/>
          </w:tcPr>
          <w:p w:rsidR="005852AC" w:rsidRPr="00E9046F" w:rsidRDefault="005852AC" w:rsidP="00F608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E9046F">
              <w:rPr>
                <w:b/>
                <w:color w:val="FFFFFF" w:themeColor="background1"/>
              </w:rPr>
              <w:t>Poznámky</w:t>
            </w:r>
          </w:p>
        </w:tc>
        <w:tc>
          <w:tcPr>
            <w:tcW w:w="958" w:type="dxa"/>
            <w:tcBorders>
              <w:bottom w:val="single" w:sz="12" w:space="0" w:color="auto"/>
            </w:tcBorders>
            <w:shd w:val="clear" w:color="auto" w:fill="365F91" w:themeFill="accent1" w:themeFillShade="BF"/>
          </w:tcPr>
          <w:p w:rsidR="005852AC" w:rsidRPr="00503A86" w:rsidRDefault="005852AC" w:rsidP="00F608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B050"/>
              </w:rPr>
            </w:pPr>
            <w:r w:rsidRPr="00503A86">
              <w:rPr>
                <w:b/>
                <w:color w:val="FFFFFF" w:themeColor="background1"/>
              </w:rPr>
              <w:t>Aktivní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  <w:tcBorders>
              <w:top w:val="single" w:sz="12" w:space="0" w:color="auto"/>
            </w:tcBorders>
          </w:tcPr>
          <w:p w:rsidR="005852AC" w:rsidRPr="006651CE" w:rsidRDefault="005852AC" w:rsidP="000752C1">
            <w:r w:rsidRPr="006651CE">
              <w:t>AKCE_POVIN_KOL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Akce - povinné datum kolaudace u ukončených akcí</w:t>
            </w:r>
          </w:p>
        </w:tc>
        <w:tc>
          <w:tcPr>
            <w:tcW w:w="3686" w:type="dxa"/>
            <w:tcBorders>
              <w:top w:val="single" w:sz="12" w:space="0" w:color="auto"/>
            </w:tcBorders>
          </w:tcPr>
          <w:p w:rsidR="005852AC" w:rsidRPr="00D8312C" w:rsidRDefault="005852AC" w:rsidP="003D3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Akce_detail.aspx.cs - od roku 12 do 15 funguje. Později zakomentováno – bool zadatKolaudace = false.</w:t>
            </w:r>
          </w:p>
        </w:tc>
        <w:tc>
          <w:tcPr>
            <w:tcW w:w="958" w:type="dxa"/>
            <w:tcBorders>
              <w:top w:val="single" w:sz="12" w:space="0" w:color="auto"/>
            </w:tcBorders>
          </w:tcPr>
          <w:p w:rsidR="005852AC" w:rsidRPr="00503A86" w:rsidRDefault="005852AC" w:rsidP="003D30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AKCE_POVIN_PU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pozemkový úřad v detailu akce</w:t>
            </w:r>
          </w:p>
        </w:tc>
        <w:tc>
          <w:tcPr>
            <w:tcW w:w="3686" w:type="dxa"/>
          </w:tcPr>
          <w:p w:rsidR="005852AC" w:rsidRPr="00CA5440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 kódu nepoužívaná.</w:t>
            </w:r>
          </w:p>
        </w:tc>
        <w:tc>
          <w:tcPr>
            <w:tcW w:w="958" w:type="dxa"/>
          </w:tcPr>
          <w:p w:rsidR="005852AC" w:rsidRPr="00503A86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AKCE_POVIN_RZ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vyplnit rok zahájení u akce</w:t>
            </w:r>
          </w:p>
        </w:tc>
        <w:tc>
          <w:tcPr>
            <w:tcW w:w="3686" w:type="dxa"/>
          </w:tcPr>
          <w:p w:rsidR="005852AC" w:rsidRPr="00CA5440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Akce_detail.aspx.cs – od roku 06 do součastnosti používané. Při uložení akce se na tuto kontrolu dbá.</w:t>
            </w:r>
          </w:p>
        </w:tc>
        <w:tc>
          <w:tcPr>
            <w:tcW w:w="958" w:type="dxa"/>
          </w:tcPr>
          <w:p w:rsidR="005852AC" w:rsidRPr="00503A86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AKCE_POVIN_STAV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Akce - povinně vyplněný stav akce S/N</w:t>
            </w:r>
          </w:p>
        </w:tc>
        <w:tc>
          <w:tcPr>
            <w:tcW w:w="3686" w:type="dxa"/>
          </w:tcPr>
          <w:p w:rsidR="005852AC" w:rsidRPr="00CA5440" w:rsidRDefault="00090359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Akce_detail.aspx.cs. </w:t>
            </w:r>
            <w:r w:rsidR="005852AC">
              <w:t>Od roku 12 do 15 používaná při ukládání akce (detail). Poté zakomentovaná – nehraje roli.</w:t>
            </w:r>
          </w:p>
        </w:tc>
        <w:tc>
          <w:tcPr>
            <w:tcW w:w="958" w:type="dxa"/>
          </w:tcPr>
          <w:p w:rsidR="005852AC" w:rsidRPr="00503A86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AKCE_SUMY_NAKLADY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Zkontrolovat jestli se součty v rozdělení nákladů rovnají požadovaným částkám</w:t>
            </w:r>
          </w:p>
        </w:tc>
        <w:tc>
          <w:tcPr>
            <w:tcW w:w="3686" w:type="dxa"/>
          </w:tcPr>
          <w:p w:rsidR="005852AC" w:rsidRPr="00D8312C" w:rsidRDefault="00090359" w:rsidP="000903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Akce_detail.aspx.cs. </w:t>
            </w:r>
            <w:r w:rsidR="005852AC">
              <w:t>Rok 09 až 15 ano. Později zakomentovaná. Při ukládání akce.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AKCE_ZMENA_KODTYP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Typ akce nelze změnit pokud je už k ní zadaná faktura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Akce.cs. CanEditKodtyp – na začátku if (!Kontroly.Enabled(…)) return true; Jinak proběhne další kód.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DEL_AKCE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Smazat jdou jen neschválené, neúplné akce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Akce_prehled.aspx.cs. Od roku 05 ano. CanDel – vrací, zda může smazat konkrétní akci. Také v akcePrehled.cs – pokud povolena, navíc delPodmínka do sql.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DEL_DODAV_SML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Lze smazat dodavatele jen když není u žádné smlouvy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Dodavatele.aspx.cs od roku 06. Vrací, zda můžeme smazat.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DEL_FAK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Faktury mazani: Mze může vždy, ostatní jen když není proplacená</w:t>
            </w:r>
          </w:p>
        </w:tc>
        <w:tc>
          <w:tcPr>
            <w:tcW w:w="3686" w:type="dxa"/>
          </w:tcPr>
          <w:p w:rsidR="005852AC" w:rsidRPr="00D8312C" w:rsidRDefault="005852AC" w:rsidP="00C84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Faktury_prehled.aspx.cs Od r. 06. Používá se při rozhodování, jestli lze smazat konkrétní fakturu.</w:t>
            </w:r>
          </w:p>
        </w:tc>
        <w:tc>
          <w:tcPr>
            <w:tcW w:w="958" w:type="dxa"/>
          </w:tcPr>
          <w:p w:rsidR="005852AC" w:rsidRPr="00503A86" w:rsidRDefault="006C5E37" w:rsidP="00C84D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DEL_SML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Smazat smlouvu lze jen když k ní nejsou žádné faktury.</w:t>
            </w:r>
          </w:p>
        </w:tc>
        <w:tc>
          <w:tcPr>
            <w:tcW w:w="3686" w:type="dxa"/>
          </w:tcPr>
          <w:p w:rsidR="005852AC" w:rsidRPr="00D8312C" w:rsidRDefault="005852AC" w:rsidP="00C84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Smlouvy_prehled.aspx.cs od roku 06. Používá se při rozhodování, jestli lze smazat konkrétní smlouvu. Podobně pak od roku 2017 v smlouvy_vyber.aspx.cs.</w:t>
            </w:r>
          </w:p>
        </w:tc>
        <w:tc>
          <w:tcPr>
            <w:tcW w:w="958" w:type="dxa"/>
          </w:tcPr>
          <w:p w:rsidR="005852AC" w:rsidRPr="00503A86" w:rsidRDefault="006C5E37" w:rsidP="00C84D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DEL_ZAKAZKY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V evidenci zakázek lze mazat jen když je aktuálni období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Starší sestava. Používáno jen v roce 08.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DODAV_POVIN_ADR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Povinná adresa u dodavatele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Dodavatele_detail.aspx.cs od r. 06. Při ukládání dodavatele.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DODAV_POVIN_CU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Povinné číslo účtu o dodavatele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Dodavatele_detail.aspx.cs od r. 06. Při ukládání dodavatele.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DODAV_POVIN_DOD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Povinný název dodavatele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Dodavatele_detail.aspx.cs od r. 06. Při ukládání dodavatele.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DODAV_POVIN_ICO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Povinné IČO u dodavatele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Dodavatele_detail.aspx.cs od r. 06. Při ukládání dodavatele.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DODAV_UNIK_ICO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Unikátní IČO u dodavatele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Dodavatele_detail.aspx.cs od r. 06. Při ukládání dodavatele.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EVSML_POVIN_CA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Evidence smluv povinně částka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EVSML_POVIN_CAZA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Evidence smluv povinně částka zařazení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EVSML_POVIN_ICO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Evidence smluv povinně ičo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lastRenderedPageBreak/>
              <w:t>EVSML_POVIN_PLN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Evidence smluv povinně plnění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EVSML_POVIN_PR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Evidence smluv povinně předmět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Evidence smluv povinně smluvní strana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EVSML_POVIN_TYP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Evidence smluv povinně typ Z P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EVSML_POVIN_UZ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Evidence smluv povinně uzavření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EVSML_POVIN_UZA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Evidence smluv povinně uzavřeno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Evidence – starší sestava, od r. 18 vyřazená.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FAK_LIMIT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Položky nesmí přesáhnout ročn limit za PU (ve fakturách)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06 – U ukládání položky. Kontrola, jestli nepřesáhne limit – celkem.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FAK_LIMIT_AKCE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Suma u faktury nesmí presáhnout schválenou částku u akce</w:t>
            </w:r>
          </w:p>
        </w:tc>
        <w:tc>
          <w:tcPr>
            <w:tcW w:w="3686" w:type="dxa"/>
          </w:tcPr>
          <w:p w:rsidR="005852AC" w:rsidRPr="00D8312C" w:rsidRDefault="005852AC" w:rsidP="0068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Faktury_detail.aspx.cs. Od 09 – U ukládání položky. Kontrola, jestli nepřesáhne limit – na akci.</w:t>
            </w:r>
          </w:p>
        </w:tc>
        <w:tc>
          <w:tcPr>
            <w:tcW w:w="958" w:type="dxa"/>
          </w:tcPr>
          <w:p w:rsidR="005852AC" w:rsidRPr="00503A86" w:rsidRDefault="006C5E37" w:rsidP="006848B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FAK_POVIN_CIS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číslo faktury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FAK_POVIN_CU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číslo účtu u faktury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FAK_POVIN_PLA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Faktury - povinně datum splatnost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FAK_POVIN_POL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Faktury - povinně alespoň jedna položka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FAK_POVIN_PRI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Faktury - povinně datum přijetí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FAK_POVIN_SAP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Povinné číslo faktury Mze/KDF</w:t>
            </w:r>
          </w:p>
        </w:tc>
        <w:tc>
          <w:tcPr>
            <w:tcW w:w="3686" w:type="dxa"/>
          </w:tcPr>
          <w:p w:rsidR="005852AC" w:rsidRPr="00D8312C" w:rsidRDefault="005852AC" w:rsidP="000F1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Faktury_detail.aspx.cs. Od r. 12. U ukládání faktury.</w:t>
            </w:r>
          </w:p>
        </w:tc>
        <w:tc>
          <w:tcPr>
            <w:tcW w:w="958" w:type="dxa"/>
          </w:tcPr>
          <w:p w:rsidR="005852AC" w:rsidRPr="00503A86" w:rsidRDefault="006C5E37" w:rsidP="000F10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FAK_POVIN_VLO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Faktury - povinně datum vložení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FAK_POVIN_VYD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Faktury - povinně datum vydání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Faktury_detail.aspx.cs. Od r. 06. U ukládání faktury.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FAKT_CASTKA_SML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Součet částek u faktur nesmí překročit částku ve smlouvě</w:t>
            </w:r>
          </w:p>
        </w:tc>
        <w:tc>
          <w:tcPr>
            <w:tcW w:w="3686" w:type="dxa"/>
          </w:tcPr>
          <w:p w:rsidR="005852AC" w:rsidRPr="00D8312C" w:rsidRDefault="005852AC" w:rsidP="000F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Faktury_detail.aspx.cs. Od r. 12. U ukládání položky.</w:t>
            </w:r>
          </w:p>
        </w:tc>
        <w:tc>
          <w:tcPr>
            <w:tcW w:w="958" w:type="dxa"/>
          </w:tcPr>
          <w:p w:rsidR="005852AC" w:rsidRPr="00503A86" w:rsidRDefault="006C5E37" w:rsidP="000F10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FAKT_NEW_REZERVACE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Bez čísla objednávky (u akce) a čísla rezervace (u smlouvy ) není  možné ke smlouvě vložit fakturu.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FakturyHelper.cs. Zakomentováno.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FAKT_OBDOBI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Fakturu nelze měnit po uzavření období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Faktury_prehled.aspx.cs a faktury_detail.aspx.cs od r. 11. Kontrola období.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KART_JEN_U_I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Karty investičního majetku lze zadávat jen k ukončeným investičním akcím</w:t>
            </w:r>
          </w:p>
        </w:tc>
        <w:tc>
          <w:tcPr>
            <w:tcW w:w="3686" w:type="dxa"/>
          </w:tcPr>
          <w:p w:rsidR="005852AC" w:rsidRPr="00D8312C" w:rsidRDefault="005852AC" w:rsidP="004A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Karty majetku – vyřazená sestava. Akce_detail.aspx.cs v metodě LoadKartyMajetkuLinks.</w:t>
            </w:r>
          </w:p>
        </w:tc>
        <w:tc>
          <w:tcPr>
            <w:tcW w:w="958" w:type="dxa"/>
          </w:tcPr>
          <w:p w:rsidR="005852AC" w:rsidRPr="00503A86" w:rsidRDefault="006C5E37" w:rsidP="004A33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KART_POVIN_CIS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Karty investičního majetku - povinné číslo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Karty majetku – vyřazená sestava.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LIMIT_CERP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V úpravě limitů - čerpaná částka musí být menší než upravená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Uprava_limitu.aspx.cs Stará sestava. Do roku 12.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LIMIT_SOUCE</w:t>
            </w:r>
            <w:r w:rsidRPr="006651CE">
              <w:lastRenderedPageBreak/>
              <w:t>T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lastRenderedPageBreak/>
              <w:t xml:space="preserve">V úpravě limitů se musí rovna </w:t>
            </w:r>
            <w:r w:rsidRPr="0063608E">
              <w:lastRenderedPageBreak/>
              <w:t>součet upravených a schválených částek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 xml:space="preserve">Uprava_limitu.aspx.cs Stará sestava. </w:t>
            </w:r>
            <w:r>
              <w:lastRenderedPageBreak/>
              <w:t>Do roku 12.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lastRenderedPageBreak/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lastRenderedPageBreak/>
              <w:t>NEW_FAK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Nová faktura lze založit jen pokud je přiznaná částka u akce větští než nula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FakturyHelper.cs. Metoda CanNewFak pro rozhodnutí u smlouvy, zda půjde přidat nová faktura. Dále Smlouvy_prehled.aspx.cs a Smlouvy_detail.aspx.cs ale jen do r. 12.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NEW_FAK_ROZP_UO_SUM_SML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Nelze zadávat faktury, pokud jsou částky přidělené pobočkám za jednotlivé zdroje nižší než sumy prostředků v rozpočtovém výhledu smluv na aktuální rok</w:t>
            </w:r>
          </w:p>
        </w:tc>
        <w:tc>
          <w:tcPr>
            <w:tcW w:w="3686" w:type="dxa"/>
          </w:tcPr>
          <w:p w:rsidR="005852AC" w:rsidRPr="00D8312C" w:rsidRDefault="005852AC" w:rsidP="00CA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FakturyHelper.cs. Metoda CanNewFak pro rozhodnutí u smlouvy, zda půjde přidat nová faktura. Dále rozpocet_uo.aspx.cs a smlouvy_detail.aspx.cs – rozhoduje, zda vypsat hlášku, že nepůjdou dané pobočce (pobočkám) zadávat nové faktury.</w:t>
            </w:r>
          </w:p>
        </w:tc>
        <w:tc>
          <w:tcPr>
            <w:tcW w:w="958" w:type="dxa"/>
          </w:tcPr>
          <w:p w:rsidR="005852AC" w:rsidRPr="00503A86" w:rsidRDefault="006C5E37" w:rsidP="00CA47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NEW_SML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Nová smlouva lze založit jen když je schválena akce.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Akce_detail.aspx.cs od r. 06. Při naplnění formuláře. Při zadávání smlouvy. Akce_prehled.aspx.cs od r. 05. Rozhoduje, zda můžeme přidat novou smlouvu.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OBJ_POVIN_CIS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Povinné číslo objednávky při zadávání objednávky</w:t>
            </w:r>
          </w:p>
        </w:tc>
        <w:tc>
          <w:tcPr>
            <w:tcW w:w="3686" w:type="dxa"/>
          </w:tcPr>
          <w:p w:rsidR="005852AC" w:rsidRPr="00D8312C" w:rsidRDefault="005852AC" w:rsidP="002E53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Objednavky_detail.aspx.cs od r. 12 při kliknutí na „Odeslat“.</w:t>
            </w:r>
          </w:p>
        </w:tc>
        <w:tc>
          <w:tcPr>
            <w:tcW w:w="958" w:type="dxa"/>
          </w:tcPr>
          <w:p w:rsidR="005852AC" w:rsidRPr="00503A86" w:rsidRDefault="006C5E37" w:rsidP="002E53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OBJ_POVIN_KART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Povinné číslo karty nedokončené investice při zadávání objednávky u investiční akce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Objednavky_detail.aspx.cs od r. 12 při kliknutí na „Odeslat“.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ROZP_PU_CERP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Rozpočet PÚ - přiznaná částka nesmí být menší než čerpaná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Rozpocet_pu.aspx.cs od r. 12. Kliknutí na schválit částku.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ROZP_PU_CERP_POZ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Rozpočet PÚ - požadovaná částka nesmí být menší než čerpaná</w:t>
            </w:r>
          </w:p>
        </w:tc>
        <w:tc>
          <w:tcPr>
            <w:tcW w:w="3686" w:type="dxa"/>
          </w:tcPr>
          <w:p w:rsidR="005852AC" w:rsidRPr="00D8312C" w:rsidRDefault="005852AC" w:rsidP="00DE19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Rozpocet_pu.aspx.cs od r. 12. Zkontroluje čerpáno na jednom řádku + ještě v javascriptu.</w:t>
            </w:r>
          </w:p>
        </w:tc>
        <w:tc>
          <w:tcPr>
            <w:tcW w:w="958" w:type="dxa"/>
          </w:tcPr>
          <w:p w:rsidR="005852AC" w:rsidRPr="00503A86" w:rsidRDefault="006C5E37" w:rsidP="00DE19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ROZP_PU_CERP_UR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Rozpočet PÚ - upravená částka nesmí být menší než čerpaná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Rozpocet_pu.aspx.cs od r. 12. Zkontroluje čerpáno na jednom řádku + ještě v javascriptu.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ROZP_PU_SUMA_UPR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Rozpočet PÚ - suma upravených částek nesmí být menší než celkový přidělená částka</w:t>
            </w:r>
          </w:p>
        </w:tc>
        <w:tc>
          <w:tcPr>
            <w:tcW w:w="3686" w:type="dxa"/>
          </w:tcPr>
          <w:p w:rsidR="005852AC" w:rsidRPr="00D8312C" w:rsidRDefault="005852AC" w:rsidP="00A34A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Rozpocet_pu.aspx.cs od r. 12. Při LoadForm(),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A34A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ROZP_PU_SUMPRI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Rozpočet PÚ - suma přiznaných částek nesmí překročit celkovou přidělenou č. PÚ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 kódu nepoužívaná.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ROZP_UO_CERP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Rozpočet ÚO - přiznaná částka nesmí být nižší než čerpání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Rozpocet_uo.aspx.cs od r. 12.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ROZP_UO_NIZSI_SUM_SML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Částky přidělené pobočkám za jednotlivé zdroje nesmí být nižší než sumy prostředků v rozpočtovém výhledu smluv na aktuální rok v rámci pobočky</w:t>
            </w:r>
          </w:p>
        </w:tc>
        <w:tc>
          <w:tcPr>
            <w:tcW w:w="3686" w:type="dxa"/>
          </w:tcPr>
          <w:p w:rsidR="005852AC" w:rsidRPr="00D8312C" w:rsidRDefault="005852AC" w:rsidP="00CB4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Rozpocet_uo.aspx.cs od r. 18. Slouží pro případné vypsání kontrolní hlášky.</w:t>
            </w:r>
          </w:p>
        </w:tc>
        <w:tc>
          <w:tcPr>
            <w:tcW w:w="958" w:type="dxa"/>
          </w:tcPr>
          <w:p w:rsidR="005852AC" w:rsidRPr="00503A86" w:rsidRDefault="006C5E37" w:rsidP="00CB4A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ROZP_UO_PRIAKCE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Rozpočet ÚO - přiznaná částka nesmí být nižší než rozdělená na akcích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Rozpocet_uo.aspx.cs od r. 12.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lastRenderedPageBreak/>
              <w:t>ROZP_UO_SUMA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Rozpočet ÚO - suma přiznaných částek nesmí přesáhnotu sumu z rozpočtu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Rozpocet_uo.aspx.cs od r. 12.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ROZP_UPU_CERP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Rozpočet ÚPÚ - přiznaná částka nesmí být nižší než čerpání</w:t>
            </w:r>
          </w:p>
        </w:tc>
        <w:tc>
          <w:tcPr>
            <w:tcW w:w="3686" w:type="dxa"/>
          </w:tcPr>
          <w:p w:rsidR="005852AC" w:rsidRPr="00D8312C" w:rsidRDefault="005852AC" w:rsidP="00E20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Rozpocet_upu.aspx.cs od r. 12.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E20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ROZP_UPU_SUMA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Rozpočet ÚPÚ - suma přiznaných částek nesmí přesáhnotu sumu z rozpočtu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Rozpocet_upu.aspx.cs od r. 12. Javascript a při kliknutí na Odeslat.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SML_POVIN_CASTKA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částka u smluv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SML_POVIN_CISLO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číslo smlouvy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SML_POVIN_DODAV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dodavatel u smlouvy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SML_POVIN_DOKON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dokončení u smluv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SML_POVIN_PODEPS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podepsáno u smlouvy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SML_POVIN_ZAHAJ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zahájení u smluv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Smlouvy_detail.aspx.cs od r. 06. Při ukládání smlouvy.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SML_SUM_VYSSI_ROZP_UO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Suma prostředků v rozpočtovém výhledu na aktuální rok za každý zdroj a za všechny smlouvy v rámci pobočky musí být menší nebo rovná rozpočtu pobočky v příslušném zdroji</w:t>
            </w:r>
          </w:p>
        </w:tc>
        <w:tc>
          <w:tcPr>
            <w:tcW w:w="3686" w:type="dxa"/>
          </w:tcPr>
          <w:p w:rsidR="005852AC" w:rsidRPr="00D8312C" w:rsidRDefault="005852AC" w:rsidP="004C2D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Smlouvy_detail.aspx.cs od r. 18. Při ukládání smlouvy – jen pro případné ukázání hlášky.</w:t>
            </w:r>
          </w:p>
        </w:tc>
        <w:tc>
          <w:tcPr>
            <w:tcW w:w="958" w:type="dxa"/>
          </w:tcPr>
          <w:p w:rsidR="005852AC" w:rsidRPr="00503A86" w:rsidRDefault="006C5E37" w:rsidP="004C2D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TEL_POVIN_JM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Povinné jméno v telefoním seznamu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Telsez_detail.aspx.cs od r. 06 při ukládání.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TEL_POVIN_PR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Povinné přijmení v telefoním seznamu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Telsez_detail.aspx.cs od r. 06 při ukládání.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TEL_POVIN_TEL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Povinný telefon v telefoním seznamu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Telsez_detail.aspx.cs od r. 06 při ukládání.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</w:rPr>
            </w:pPr>
            <w:r w:rsidRPr="00503A86">
              <w:rPr>
                <w:color w:val="00B050"/>
              </w:rPr>
              <w:t>Ano</w:t>
            </w:r>
          </w:p>
        </w:tc>
      </w:tr>
      <w:tr w:rsidR="005852AC" w:rsidTr="00503A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Pr="006651CE" w:rsidRDefault="005852AC" w:rsidP="000752C1">
            <w:r w:rsidRPr="006651CE">
              <w:t>ZAK_POVIN_CASTKA</w:t>
            </w:r>
          </w:p>
        </w:tc>
        <w:tc>
          <w:tcPr>
            <w:tcW w:w="3118" w:type="dxa"/>
          </w:tcPr>
          <w:p w:rsidR="005852AC" w:rsidRPr="0063608E" w:rsidRDefault="005852AC" w:rsidP="00E06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608E">
              <w:t>Povinně částka u evidence zakázek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Zakazky_detail.aspx.cs rok 08. Vyřazená sestava.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  <w:tr w:rsidR="005852AC" w:rsidTr="00503A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6" w:type="dxa"/>
          </w:tcPr>
          <w:p w:rsidR="005852AC" w:rsidRDefault="005852AC" w:rsidP="000752C1">
            <w:r w:rsidRPr="006651CE">
              <w:t>ZAK_POVIN_NAZEV</w:t>
            </w:r>
          </w:p>
        </w:tc>
        <w:tc>
          <w:tcPr>
            <w:tcW w:w="3118" w:type="dxa"/>
          </w:tcPr>
          <w:p w:rsidR="005852AC" w:rsidRDefault="005852AC" w:rsidP="00E06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608E">
              <w:t>Povinně název u evidence zakázek</w:t>
            </w:r>
          </w:p>
        </w:tc>
        <w:tc>
          <w:tcPr>
            <w:tcW w:w="3686" w:type="dxa"/>
          </w:tcPr>
          <w:p w:rsidR="005852AC" w:rsidRPr="00D8312C" w:rsidRDefault="005852AC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Zakazky_detail.aspx.cs rok 08. Vyřazená sestava.</w:t>
            </w:r>
          </w:p>
        </w:tc>
        <w:tc>
          <w:tcPr>
            <w:tcW w:w="958" w:type="dxa"/>
          </w:tcPr>
          <w:p w:rsidR="005852AC" w:rsidRPr="00503A86" w:rsidRDefault="006C5E37" w:rsidP="00F60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C00000"/>
              </w:rPr>
            </w:pPr>
            <w:r w:rsidRPr="00503A86">
              <w:rPr>
                <w:color w:val="C00000"/>
              </w:rPr>
              <w:t>Ne</w:t>
            </w:r>
          </w:p>
        </w:tc>
      </w:tr>
    </w:tbl>
    <w:p w:rsidR="004D096B" w:rsidRPr="004D096B" w:rsidRDefault="004D096B" w:rsidP="004D096B">
      <w:bookmarkStart w:id="0" w:name="_GoBack"/>
      <w:bookmarkEnd w:id="0"/>
    </w:p>
    <w:sectPr w:rsidR="004D096B" w:rsidRPr="004D09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53"/>
    <w:rsid w:val="00003C20"/>
    <w:rsid w:val="00090359"/>
    <w:rsid w:val="000F105B"/>
    <w:rsid w:val="00137581"/>
    <w:rsid w:val="00144D68"/>
    <w:rsid w:val="001724CD"/>
    <w:rsid w:val="0018295F"/>
    <w:rsid w:val="0018616B"/>
    <w:rsid w:val="00270C32"/>
    <w:rsid w:val="00270E4B"/>
    <w:rsid w:val="002975EC"/>
    <w:rsid w:val="002A2DAE"/>
    <w:rsid w:val="002B68AA"/>
    <w:rsid w:val="002E536E"/>
    <w:rsid w:val="00302FD0"/>
    <w:rsid w:val="003355D2"/>
    <w:rsid w:val="00380378"/>
    <w:rsid w:val="003A0257"/>
    <w:rsid w:val="003B39BB"/>
    <w:rsid w:val="003D3064"/>
    <w:rsid w:val="003D7963"/>
    <w:rsid w:val="00425677"/>
    <w:rsid w:val="00462F57"/>
    <w:rsid w:val="00473F76"/>
    <w:rsid w:val="004A333D"/>
    <w:rsid w:val="004C2DB6"/>
    <w:rsid w:val="004D096B"/>
    <w:rsid w:val="004E2C28"/>
    <w:rsid w:val="00503A86"/>
    <w:rsid w:val="00503DBE"/>
    <w:rsid w:val="005074C9"/>
    <w:rsid w:val="00562492"/>
    <w:rsid w:val="005852AC"/>
    <w:rsid w:val="0061405F"/>
    <w:rsid w:val="00680751"/>
    <w:rsid w:val="006848B2"/>
    <w:rsid w:val="00685684"/>
    <w:rsid w:val="006A5FA5"/>
    <w:rsid w:val="006C5E37"/>
    <w:rsid w:val="006E1663"/>
    <w:rsid w:val="007243FA"/>
    <w:rsid w:val="00750907"/>
    <w:rsid w:val="00776710"/>
    <w:rsid w:val="007879A1"/>
    <w:rsid w:val="00787F96"/>
    <w:rsid w:val="007A3F3F"/>
    <w:rsid w:val="007B4F39"/>
    <w:rsid w:val="0085562D"/>
    <w:rsid w:val="0085670E"/>
    <w:rsid w:val="0087121A"/>
    <w:rsid w:val="008808B9"/>
    <w:rsid w:val="00893659"/>
    <w:rsid w:val="008D5DA9"/>
    <w:rsid w:val="008E785A"/>
    <w:rsid w:val="009458FF"/>
    <w:rsid w:val="009506F1"/>
    <w:rsid w:val="00965D16"/>
    <w:rsid w:val="009A3B2E"/>
    <w:rsid w:val="009F0D5C"/>
    <w:rsid w:val="009F3664"/>
    <w:rsid w:val="009F79C3"/>
    <w:rsid w:val="00A34A0A"/>
    <w:rsid w:val="00A40743"/>
    <w:rsid w:val="00A66153"/>
    <w:rsid w:val="00A823E8"/>
    <w:rsid w:val="00A83DDD"/>
    <w:rsid w:val="00B05561"/>
    <w:rsid w:val="00B13F65"/>
    <w:rsid w:val="00BF7B15"/>
    <w:rsid w:val="00C26BB1"/>
    <w:rsid w:val="00C37DD6"/>
    <w:rsid w:val="00C84D2C"/>
    <w:rsid w:val="00CA4796"/>
    <w:rsid w:val="00CA5440"/>
    <w:rsid w:val="00CB4A67"/>
    <w:rsid w:val="00CD636B"/>
    <w:rsid w:val="00CF6CDD"/>
    <w:rsid w:val="00D91AFA"/>
    <w:rsid w:val="00DA7BE0"/>
    <w:rsid w:val="00DD200B"/>
    <w:rsid w:val="00DE1990"/>
    <w:rsid w:val="00DF287D"/>
    <w:rsid w:val="00E1614B"/>
    <w:rsid w:val="00E17B44"/>
    <w:rsid w:val="00E2036D"/>
    <w:rsid w:val="00E362B8"/>
    <w:rsid w:val="00E37FB6"/>
    <w:rsid w:val="00E9046F"/>
    <w:rsid w:val="00EE1AB3"/>
    <w:rsid w:val="00F83290"/>
    <w:rsid w:val="00FA5E3C"/>
    <w:rsid w:val="00FD23B5"/>
    <w:rsid w:val="00FE0E38"/>
    <w:rsid w:val="00FE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661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6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6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D096B"/>
    <w:pPr>
      <w:ind w:left="720"/>
      <w:contextualSpacing/>
    </w:pPr>
  </w:style>
  <w:style w:type="table" w:styleId="Mkatabulky">
    <w:name w:val="Table Grid"/>
    <w:basedOn w:val="Normlntabulka"/>
    <w:uiPriority w:val="59"/>
    <w:rsid w:val="004D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mka3zvraznn5">
    <w:name w:val="Medium Grid 3 Accent 5"/>
    <w:basedOn w:val="Normlntabulka"/>
    <w:uiPriority w:val="69"/>
    <w:rsid w:val="004D09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seznam1zvraznn1">
    <w:name w:val="Medium List 1 Accent 1"/>
    <w:basedOn w:val="Normlntabulka"/>
    <w:uiPriority w:val="65"/>
    <w:rsid w:val="004D09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Nzev">
    <w:name w:val="Title"/>
    <w:basedOn w:val="Normln"/>
    <w:next w:val="Normln"/>
    <w:link w:val="NzevChar"/>
    <w:uiPriority w:val="10"/>
    <w:qFormat/>
    <w:rsid w:val="00A83D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83D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661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1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661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6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D096B"/>
    <w:pPr>
      <w:ind w:left="720"/>
      <w:contextualSpacing/>
    </w:pPr>
  </w:style>
  <w:style w:type="table" w:styleId="Mkatabulky">
    <w:name w:val="Table Grid"/>
    <w:basedOn w:val="Normlntabulka"/>
    <w:uiPriority w:val="59"/>
    <w:rsid w:val="004D0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mka3zvraznn5">
    <w:name w:val="Medium Grid 3 Accent 5"/>
    <w:basedOn w:val="Normlntabulka"/>
    <w:uiPriority w:val="69"/>
    <w:rsid w:val="004D096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seznam1zvraznn1">
    <w:name w:val="Medium List 1 Accent 1"/>
    <w:basedOn w:val="Normlntabulka"/>
    <w:uiPriority w:val="65"/>
    <w:rsid w:val="004D096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Nzev">
    <w:name w:val="Title"/>
    <w:basedOn w:val="Normln"/>
    <w:next w:val="Normln"/>
    <w:link w:val="NzevChar"/>
    <w:uiPriority w:val="10"/>
    <w:qFormat/>
    <w:rsid w:val="00A83D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83D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D55BD9401E946B695EF4B933D16B8" ma:contentTypeVersion="8" ma:contentTypeDescription="Create a new document." ma:contentTypeScope="" ma:versionID="ec3dd8d2272091c644cf626cf52d6a04">
  <xsd:schema xmlns:xsd="http://www.w3.org/2001/XMLSchema" xmlns:xs="http://www.w3.org/2001/XMLSchema" xmlns:p="http://schemas.microsoft.com/office/2006/metadata/properties" xmlns:ns2="57538b31-bd31-4de1-af62-141580a65184" xmlns:ns3="160c4d8a-f795-417d-bbfb-8029b73d64d6" targetNamespace="http://schemas.microsoft.com/office/2006/metadata/properties" ma:root="true" ma:fieldsID="a2edae0afd332a5ec0282d6c3028eefd" ns2:_="" ns3:_="">
    <xsd:import namespace="57538b31-bd31-4de1-af62-141580a65184"/>
    <xsd:import namespace="160c4d8a-f795-417d-bbfb-8029b73d6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38b31-bd31-4de1-af62-141580a651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c4d8a-f795-417d-bbfb-8029b73d6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BECB9B-763D-4F85-BC8E-7E7BEE3F42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59169E-A62F-4EF8-8255-DD4966AD2CE0}"/>
</file>

<file path=customXml/itemProps3.xml><?xml version="1.0" encoding="utf-8"?>
<ds:datastoreItem xmlns:ds="http://schemas.openxmlformats.org/officeDocument/2006/customXml" ds:itemID="{CC42E007-1BE1-4C45-9DBD-35AB9341811F}"/>
</file>

<file path=customXml/itemProps4.xml><?xml version="1.0" encoding="utf-8"?>
<ds:datastoreItem xmlns:ds="http://schemas.openxmlformats.org/officeDocument/2006/customXml" ds:itemID="{008EE3AC-CE16-45F5-B318-F980C8CAF2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1802</Words>
  <Characters>10635</Characters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2018-08-13T14:21:00Z</dcterms:created>
  <dcterms:modified xsi:type="dcterms:W3CDTF">2019-01-10T12:32:00Z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0x010100BE3D55BD9401E946B695EF4B933D16B8</vt:lpwstr>
  </property>
</Properties>
</file>